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Ada Kemper Advisory</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400 Ledger St, suite 12</w:t>
      </w:r>
    </w:p>
    <w:p>
      <w:r>
        <w:rPr>
          <w:rFonts w:ascii="Calibri" w:cs="Calibri" w:eastAsia="Calibri" w:hAnsi="Calibri"/>
          <w:b w:val="false"/>
          <w:bCs w:val="false"/>
          <w:i w:val="false"/>
          <w:iCs w:val="false"/>
          <w:sz w:val="20"/>
          <w:szCs w:val="20"/>
        </w:rPr>
        <w:t xml:space="preserve">Madison, WI 53703</w:t>
      </w:r>
    </w:p>
    <w:p>
      <w:r>
        <w:rPr>
          <w:rFonts w:ascii="Calibri" w:cs="Calibri" w:eastAsia="Calibri" w:hAnsi="Calibri"/>
          <w:b w:val="false"/>
          <w:bCs w:val="false"/>
          <w:i w:val="false"/>
          <w:iCs w:val="false"/>
          <w:sz w:val="20"/>
          <w:szCs w:val="20"/>
        </w:rPr>
        <w:t xml:space="preserve">(608) 555-0136</w:t>
      </w:r>
    </w:p>
    <w:p>
      <w:pPr>
        <w:jc w:val="right"/>
      </w:pPr>
      <w:r>
        <w:rPr>
          <w:rFonts w:ascii="Calibri" w:cs="Calibri" w:eastAsia="Calibri" w:hAnsi="Calibri"/>
          <w:sz w:val="20"/>
          <w:szCs w:val="20"/>
        </w:rPr>
        <w:t xml:space="preserve">INV-1174    Issued October 1, 2026    Due October 31,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Northwind Credit Union</w:t>
      </w:r>
    </w:p>
    <w:p>
      <w:r>
        <w:rPr>
          <w:rFonts w:ascii="Calibri" w:cs="Calibri" w:eastAsia="Calibri" w:hAnsi="Calibri"/>
          <w:b w:val="false"/>
          <w:bCs w:val="false"/>
          <w:i w:val="false"/>
          <w:iCs w:val="false"/>
          <w:sz w:val="20"/>
          <w:szCs w:val="20"/>
        </w:rPr>
        <w:t xml:space="preserve">Attn: Accounts payable</w:t>
      </w:r>
    </w:p>
    <w:p>
      <w:r>
        <w:rPr>
          <w:rFonts w:ascii="Calibri" w:cs="Calibri" w:eastAsia="Calibri" w:hAnsi="Calibri"/>
          <w:b w:val="false"/>
          <w:bCs w:val="false"/>
          <w:i w:val="false"/>
          <w:iCs w:val="false"/>
          <w:sz w:val="20"/>
          <w:szCs w:val="20"/>
        </w:rPr>
        <w:t xml:space="preserve">PO 7781</w:t>
      </w:r>
    </w:p>
    <w:p>
      <w:r>
        <w:rPr>
          <w:rFonts w:ascii="Calibri" w:cs="Calibri" w:eastAsia="Calibri" w:hAnsi="Calibri"/>
          <w:b w:val="false"/>
          <w:bCs w:val="false"/>
          <w:i w:val="false"/>
          <w:iCs w:val="false"/>
          <w:sz w:val="20"/>
          <w:szCs w:val="20"/>
        </w:rPr>
        <w:t xml:space="preserve">Engagement: member-growth advisory</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October advisory retainer, 12 hours included</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$2,400.00</w:t>
            </w:r>
          </w:p>
        </w:tc>
        <w:tc>
          <w:tcPr>
            <w:tcW w:type="dxa" w:w="1380"/>
          </w:tcPr>
          <w:p>
            <w:r>
              <w:rPr>
                <w:rFonts w:ascii="Calibri" w:cs="Calibri" w:eastAsia="Calibri" w:hAnsi="Calibri"/>
                <w:b w:val="false"/>
                <w:bCs w:val="false"/>
                <w:i w:val="false"/>
                <w:iCs w:val="false"/>
                <w:sz w:val="20"/>
                <w:szCs w:val="20"/>
              </w:rPr>
              <w:t xml:space="preserve">$2,400.00</w:t>
            </w:r>
          </w:p>
        </w:tc>
      </w:tr>
      <w:tr>
        <w:tc>
          <w:tcPr>
            <w:tcW w:type="dxa" w:w="5400"/>
          </w:tcPr>
          <w:p>
            <w:r>
              <w:rPr>
                <w:rFonts w:ascii="Calibri" w:cs="Calibri" w:eastAsia="Calibri" w:hAnsi="Calibri"/>
                <w:b w:val="false"/>
                <w:bCs w:val="false"/>
                <w:i w:val="false"/>
                <w:iCs w:val="false"/>
                <w:sz w:val="20"/>
                <w:szCs w:val="20"/>
              </w:rPr>
              <w:t xml:space="preserve">Hours past the retainer</w:t>
            </w:r>
          </w:p>
        </w:tc>
        <w:tc>
          <w:tcPr>
            <w:tcW w:type="dxa" w:w="1200"/>
          </w:tcPr>
          <w:p>
            <w:r>
              <w:rPr>
                <w:rFonts w:ascii="Calibri" w:cs="Calibri" w:eastAsia="Calibri" w:hAnsi="Calibri"/>
                <w:b w:val="false"/>
                <w:bCs w:val="false"/>
                <w:i w:val="false"/>
                <w:iCs w:val="false"/>
                <w:sz w:val="20"/>
                <w:szCs w:val="20"/>
              </w:rPr>
              <w:t xml:space="preserve">3</w:t>
            </w:r>
          </w:p>
        </w:tc>
        <w:tc>
          <w:tcPr>
            <w:tcW w:type="dxa" w:w="1380"/>
          </w:tcPr>
          <w:p>
            <w:r>
              <w:rPr>
                <w:rFonts w:ascii="Calibri" w:cs="Calibri" w:eastAsia="Calibri" w:hAnsi="Calibri"/>
                <w:b w:val="false"/>
                <w:bCs w:val="false"/>
                <w:i w:val="false"/>
                <w:iCs w:val="false"/>
                <w:sz w:val="20"/>
                <w:szCs w:val="20"/>
              </w:rPr>
              <w:t xml:space="preserve">$200.00</w:t>
            </w:r>
          </w:p>
        </w:tc>
        <w:tc>
          <w:tcPr>
            <w:tcW w:type="dxa" w:w="1380"/>
          </w:tcPr>
          <w:p>
            <w:r>
              <w:rPr>
                <w:rFonts w:ascii="Calibri" w:cs="Calibri" w:eastAsia="Calibri" w:hAnsi="Calibri"/>
                <w:b w:val="false"/>
                <w:bCs w:val="false"/>
                <w:i w:val="false"/>
                <w:iCs w:val="false"/>
                <w:sz w:val="20"/>
                <w:szCs w:val="20"/>
              </w:rPr>
              <w:t xml:space="preserve">$600.00</w:t>
            </w:r>
          </w:p>
        </w:tc>
      </w:tr>
      <w:tr>
        <w:tc>
          <w:tcPr>
            <w:tcW w:type="dxa" w:w="5400"/>
          </w:tcPr>
          <w:p>
            <w:r>
              <w:rPr>
                <w:rFonts w:ascii="Calibri" w:cs="Calibri" w:eastAsia="Calibri" w:hAnsi="Calibri"/>
                <w:b w:val="false"/>
                <w:bCs w:val="false"/>
                <w:i w:val="false"/>
                <w:iCs w:val="false"/>
                <w:sz w:val="20"/>
                <w:szCs w:val="20"/>
              </w:rPr>
              <w:t xml:space="preserve">Half-day workshop facilitation</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$900.00</w:t>
            </w:r>
          </w:p>
        </w:tc>
        <w:tc>
          <w:tcPr>
            <w:tcW w:type="dxa" w:w="1380"/>
          </w:tcPr>
          <w:p>
            <w:r>
              <w:rPr>
                <w:rFonts w:ascii="Calibri" w:cs="Calibri" w:eastAsia="Calibri" w:hAnsi="Calibri"/>
                <w:b w:val="false"/>
                <w:bCs w:val="false"/>
                <w:i w:val="false"/>
                <w:iCs w:val="false"/>
                <w:sz w:val="20"/>
                <w:szCs w:val="20"/>
              </w:rPr>
              <w:t xml:space="preserve">$900.00</w:t>
            </w:r>
          </w:p>
        </w:tc>
      </w:tr>
      <w:tr>
        <w:tc>
          <w:tcPr>
            <w:tcW w:type="dxa" w:w="5400"/>
          </w:tcPr>
          <w:p>
            <w:r>
              <w:rPr>
                <w:rFonts w:ascii="Calibri" w:cs="Calibri" w:eastAsia="Calibri" w:hAnsi="Calibri"/>
                <w:b w:val="false"/>
                <w:bCs w:val="false"/>
                <w:i w:val="false"/>
                <w:iCs w:val="false"/>
                <w:sz w:val="20"/>
                <w:szCs w:val="20"/>
              </w:rPr>
              <w:t xml:space="preserve">Travel, at cost, no markup in this example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$146.00</w:t>
            </w:r>
          </w:p>
        </w:tc>
        <w:tc>
          <w:tcPr>
            <w:tcW w:type="dxa" w:w="1380"/>
          </w:tcPr>
          <w:p>
            <w:r>
              <w:rPr>
                <w:rFonts w:ascii="Calibri" w:cs="Calibri" w:eastAsia="Calibri" w:hAnsi="Calibri"/>
                <w:b w:val="false"/>
                <w:bCs w:val="false"/>
                <w:i w:val="false"/>
                <w:iCs w:val="false"/>
                <w:sz w:val="20"/>
                <w:szCs w:val="20"/>
              </w:rPr>
              <w:t xml:space="preserve">$146.00</w:t>
            </w:r>
          </w:p>
        </w:tc>
      </w:tr>
    </w:tbl>
    <w:p>
      <w:r>
        <w:rPr>
          <w:sz w:val="22"/>
          <w:szCs w:val="22"/>
        </w:rPr>
        <w:t xml:space="preserve">Subtotal $4,046.00</w:t>
      </w:r>
    </w:p>
    <w:p>
      <w:r>
        <w:rPr>
          <w:b/>
          <w:bCs/>
          <w:sz w:val="28"/>
          <w:szCs w:val="28"/>
        </w:rPr>
        <w:t xml:space="preserve">Total due $4,046.00</w:t>
      </w:r>
    </w:p>
    <w:p>
      <w:r>
        <w:rPr>
          <w:sz w:val="20"/>
          <w:szCs w:val="20"/>
        </w:rPr>
        <w:t xml:space="preserve">Payment methods: Bank Transfer, Check</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one advisory month. Not a fee survey.</w:t>
      </w:r>
    </w:p>
    <w:p>
      <w:r>
        <w:rPr>
          <w:rFonts w:ascii="Calibri" w:cs="Calibri" w:eastAsia="Calibri" w:hAnsi="Calibri"/>
          <w:b w:val="false"/>
          <w:bCs w:val="false"/>
          <w:i w:val="false"/>
          <w:iCs w:val="false"/>
          <w:sz w:val="20"/>
          <w:szCs w:val="20"/>
        </w:rPr>
        <w:t xml:space="preserve">The retainer covers 12 hours in October and, in this sample, unused hours do not roll into November. Say that in the engagement if that is the deal. Hours past 12 are the $200 line.</w:t>
      </w:r>
    </w:p>
    <w:p>
      <w:r>
        <w:rPr>
          <w:rFonts w:ascii="Calibri" w:cs="Calibri" w:eastAsia="Calibri" w:hAnsi="Calibri"/>
          <w:b w:val="false"/>
          <w:bCs w:val="false"/>
          <w:i w:val="false"/>
          <w:iCs w:val="false"/>
          <w:sz w:val="20"/>
          <w:szCs w:val="20"/>
        </w:rPr>
        <w:t xml:space="preserve">PO 7781 has to be on the bill or their accounts payable will sit on it. Net 30 matches a client who pays on a cycle, not a household who can pay on the spot.</w:t>
      </w:r>
    </w:p>
    <w:p>
      <w:r>
        <w:rPr>
          <w:rFonts w:ascii="Calibri" w:cs="Calibri" w:eastAsia="Calibri" w:hAnsi="Calibri"/>
          <w:b w:val="false"/>
          <w:bCs w:val="false"/>
          <w:i w:val="false"/>
          <w:iCs w:val="false"/>
          <w:sz w:val="20"/>
          <w:szCs w:val="20"/>
        </w:rPr>
        <w:t xml:space="preserve">Travel is shown at cost. Attach the receipt in real life. This page does not include one.</w:t>
      </w:r>
    </w:p>
    <w:p>
      <w:r>
        <w:rPr>
          <w:rFonts w:ascii="Calibri" w:cs="Calibri" w:eastAsia="Calibri" w:hAnsi="Calibri"/>
          <w:b w:val="false"/>
          <w:bCs w:val="false"/>
          <w:i w:val="false"/>
          <w:iCs w:val="false"/>
          <w:sz w:val="20"/>
          <w:szCs w:val="20"/>
        </w:rPr>
        <w:t xml:space="preserve">License or registration numbers, if your field uses them, belong in your business details.</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Kemper Advisory sample consultant invoice</dc:title>
  <dc:creator>PaidPilot</dc:creator>
  <dc:description>Example consultant invoice. Prices are made up.</dc:description>
  <cp:lastModifiedBy>Un-named</cp:lastModifiedBy>
  <cp:revision>1</cp:revision>
  <dcterms:created xsi:type="dcterms:W3CDTF">2026-10-10T21:39:40.657Z</dcterms:created>
  <dcterms:modified xsi:type="dcterms:W3CDTF">2026-10-10T21:39:40.657Z</dcterms:modified>
</cp:coreProperties>
</file>

<file path=docProps/custom.xml><?xml version="1.0" encoding="utf-8"?>
<Properties xmlns="http://schemas.openxmlformats.org/officeDocument/2006/custom-properties" xmlns:vt="http://schemas.openxmlformats.org/officeDocument/2006/docPropsVTypes"/>
</file>